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EastAsia" w:hAnsiTheme="majorEastAsia" w:eastAsiaTheme="majorEastAsia"/>
          <w:b/>
          <w:color w:val="333333"/>
          <w:spacing w:val="6"/>
          <w:sz w:val="32"/>
          <w:szCs w:val="32"/>
          <w:shd w:val="clear" w:color="auto" w:fill="FFFFFF"/>
        </w:rPr>
      </w:pPr>
      <w:r>
        <w:rPr>
          <w:rFonts w:hint="eastAsia" w:asciiTheme="majorEastAsia" w:hAnsiTheme="majorEastAsia" w:eastAsiaTheme="majorEastAsia"/>
          <w:b/>
          <w:color w:val="333333"/>
          <w:spacing w:val="6"/>
          <w:sz w:val="32"/>
          <w:szCs w:val="32"/>
          <w:shd w:val="clear" w:color="auto" w:fill="FFFFFF"/>
        </w:rPr>
        <w:t>雅安市人员健康风险评估表</w:t>
      </w:r>
    </w:p>
    <w:p>
      <w:pPr>
        <w:spacing w:line="360" w:lineRule="auto"/>
        <w:ind w:firstLine="532" w:firstLineChars="221"/>
        <w:jc w:val="left"/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姓      名：                       联系电话：</w:t>
      </w:r>
    </w:p>
    <w:p>
      <w:pPr>
        <w:spacing w:line="360" w:lineRule="auto"/>
        <w:ind w:firstLine="532" w:firstLineChars="221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" w:hAnsi="仿宋" w:eastAsia="仿宋"/>
          <w:b/>
          <w:sz w:val="24"/>
          <w:szCs w:val="24"/>
        </w:rPr>
        <w:t xml:space="preserve">来雅前住址：                      来返雅时间： </w:t>
      </w:r>
    </w:p>
    <w:tbl>
      <w:tblPr>
        <w:tblStyle w:val="2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79"/>
        <w:gridCol w:w="1465"/>
        <w:gridCol w:w="1341"/>
        <w:gridCol w:w="12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79" w:type="dxa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评估内容</w:t>
            </w:r>
          </w:p>
        </w:tc>
        <w:tc>
          <w:tcPr>
            <w:tcW w:w="2806" w:type="dxa"/>
            <w:gridSpan w:val="2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快速评分标准</w:t>
            </w:r>
          </w:p>
        </w:tc>
        <w:tc>
          <w:tcPr>
            <w:tcW w:w="1237" w:type="dxa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得</w:t>
            </w:r>
            <w:r>
              <w:rPr>
                <w:b/>
                <w:sz w:val="24"/>
                <w:szCs w:val="24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79" w:type="dxa"/>
          </w:tcPr>
          <w:p>
            <w:pPr>
              <w:numPr>
                <w:ilvl w:val="0"/>
                <w:numId w:val="1"/>
              </w:num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是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否来自或者有高风险地区旅行史或居住史</w:t>
            </w:r>
          </w:p>
        </w:tc>
        <w:tc>
          <w:tcPr>
            <w:tcW w:w="1465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是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（3分）</w:t>
            </w:r>
          </w:p>
        </w:tc>
        <w:tc>
          <w:tcPr>
            <w:tcW w:w="1341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否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（0分）</w:t>
            </w:r>
          </w:p>
        </w:tc>
        <w:tc>
          <w:tcPr>
            <w:tcW w:w="1237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79" w:type="dxa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2、</w:t>
            </w:r>
            <w:r>
              <w:rPr>
                <w:rFonts w:ascii="宋体" w:hAnsi="宋体" w:eastAsia="宋体"/>
                <w:sz w:val="24"/>
                <w:szCs w:val="24"/>
              </w:rPr>
              <w:t>是否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来自或者有中风险地区旅行史或居住史</w:t>
            </w:r>
          </w:p>
        </w:tc>
        <w:tc>
          <w:tcPr>
            <w:tcW w:w="1465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是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（2分）</w:t>
            </w:r>
          </w:p>
        </w:tc>
        <w:tc>
          <w:tcPr>
            <w:tcW w:w="1341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否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（0分）</w:t>
            </w:r>
          </w:p>
        </w:tc>
        <w:tc>
          <w:tcPr>
            <w:tcW w:w="1237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79" w:type="dxa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3、是否来自或者有低风险地区旅行史或居住史</w:t>
            </w:r>
          </w:p>
        </w:tc>
        <w:tc>
          <w:tcPr>
            <w:tcW w:w="1465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是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（1分）</w:t>
            </w:r>
          </w:p>
        </w:tc>
        <w:tc>
          <w:tcPr>
            <w:tcW w:w="1341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否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（0分）</w:t>
            </w:r>
          </w:p>
        </w:tc>
        <w:tc>
          <w:tcPr>
            <w:tcW w:w="1237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79" w:type="dxa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4、如</w:t>
            </w:r>
            <w:r>
              <w:rPr>
                <w:rFonts w:ascii="宋体" w:hAnsi="宋体" w:eastAsia="宋体"/>
                <w:sz w:val="24"/>
                <w:szCs w:val="24"/>
              </w:rPr>
              <w:t>曾经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被判定</w:t>
            </w:r>
            <w:r>
              <w:rPr>
                <w:rFonts w:ascii="宋体" w:hAnsi="宋体" w:eastAsia="宋体"/>
                <w:sz w:val="24"/>
                <w:szCs w:val="24"/>
              </w:rPr>
              <w:t>为密切接触者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或者疑似病人或者确诊病人或无症状感染者，目前是否在解除隔离后的1</w:t>
            </w:r>
            <w:r>
              <w:rPr>
                <w:rFonts w:ascii="宋体" w:hAnsi="宋体" w:eastAsia="宋体"/>
                <w:sz w:val="24"/>
                <w:szCs w:val="24"/>
              </w:rPr>
              <w:t>4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天内</w:t>
            </w:r>
          </w:p>
        </w:tc>
        <w:tc>
          <w:tcPr>
            <w:tcW w:w="1465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是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（2分）</w:t>
            </w:r>
          </w:p>
        </w:tc>
        <w:tc>
          <w:tcPr>
            <w:tcW w:w="1341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否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（0分）</w:t>
            </w:r>
          </w:p>
        </w:tc>
        <w:tc>
          <w:tcPr>
            <w:tcW w:w="1237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79" w:type="dxa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5、</w:t>
            </w:r>
            <w:r>
              <w:rPr>
                <w:rFonts w:ascii="宋体" w:hAnsi="宋体" w:eastAsia="宋体"/>
                <w:sz w:val="24"/>
                <w:szCs w:val="24"/>
              </w:rPr>
              <w:t>来雅前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1</w:t>
            </w:r>
            <w:r>
              <w:rPr>
                <w:rFonts w:ascii="宋体" w:hAnsi="宋体" w:eastAsia="宋体"/>
                <w:sz w:val="24"/>
                <w:szCs w:val="24"/>
              </w:rPr>
              <w:t>4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天内所</w:t>
            </w:r>
            <w:r>
              <w:rPr>
                <w:rFonts w:ascii="宋体" w:hAnsi="宋体" w:eastAsia="宋体"/>
                <w:sz w:val="24"/>
                <w:szCs w:val="24"/>
              </w:rPr>
              <w:t>居住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村组（社区）</w:t>
            </w:r>
            <w:r>
              <w:rPr>
                <w:rFonts w:ascii="宋体" w:hAnsi="宋体" w:eastAsia="宋体"/>
                <w:sz w:val="24"/>
                <w:szCs w:val="24"/>
              </w:rPr>
              <w:t>是否有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确诊病例或疑似</w:t>
            </w:r>
            <w:r>
              <w:rPr>
                <w:rFonts w:ascii="宋体" w:hAnsi="宋体" w:eastAsia="宋体"/>
                <w:sz w:val="24"/>
                <w:szCs w:val="24"/>
              </w:rPr>
              <w:t>病例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或无症状感染者</w:t>
            </w:r>
          </w:p>
        </w:tc>
        <w:tc>
          <w:tcPr>
            <w:tcW w:w="1465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是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（1分）</w:t>
            </w:r>
          </w:p>
        </w:tc>
        <w:tc>
          <w:tcPr>
            <w:tcW w:w="1341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否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（0分）</w:t>
            </w:r>
          </w:p>
        </w:tc>
        <w:tc>
          <w:tcPr>
            <w:tcW w:w="1237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79" w:type="dxa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6、本人14天内是否有发热、干咳等呼吸道症状</w:t>
            </w:r>
          </w:p>
        </w:tc>
        <w:tc>
          <w:tcPr>
            <w:tcW w:w="1465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是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（2分）</w:t>
            </w:r>
          </w:p>
        </w:tc>
        <w:tc>
          <w:tcPr>
            <w:tcW w:w="1341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否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（0分）</w:t>
            </w:r>
          </w:p>
        </w:tc>
        <w:tc>
          <w:tcPr>
            <w:tcW w:w="1237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79" w:type="dxa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7、本人</w:t>
            </w:r>
            <w:r>
              <w:rPr>
                <w:rFonts w:ascii="宋体" w:hAnsi="宋体" w:eastAsia="宋体"/>
                <w:sz w:val="24"/>
                <w:szCs w:val="24"/>
              </w:rPr>
              <w:t>来雅前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14天内是否接触过发热、咳嗽等呼吸道症状者</w:t>
            </w:r>
          </w:p>
        </w:tc>
        <w:tc>
          <w:tcPr>
            <w:tcW w:w="1465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是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（1分）</w:t>
            </w:r>
          </w:p>
        </w:tc>
        <w:tc>
          <w:tcPr>
            <w:tcW w:w="1341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否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（0分）</w:t>
            </w:r>
          </w:p>
        </w:tc>
        <w:tc>
          <w:tcPr>
            <w:tcW w:w="1237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79" w:type="dxa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8、是否乘坐公共交通工具来雅</w:t>
            </w:r>
          </w:p>
        </w:tc>
        <w:tc>
          <w:tcPr>
            <w:tcW w:w="1465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是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（1分）</w:t>
            </w:r>
          </w:p>
        </w:tc>
        <w:tc>
          <w:tcPr>
            <w:tcW w:w="1341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否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（0分）</w:t>
            </w:r>
          </w:p>
        </w:tc>
        <w:tc>
          <w:tcPr>
            <w:tcW w:w="1237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79" w:type="dxa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9、持有有效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sz w:val="24"/>
                <w:szCs w:val="24"/>
              </w:rPr>
              <w:t>健康证明或者健康绿码</w:t>
            </w:r>
          </w:p>
        </w:tc>
        <w:tc>
          <w:tcPr>
            <w:tcW w:w="1465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是（-1分）</w:t>
            </w:r>
          </w:p>
        </w:tc>
        <w:tc>
          <w:tcPr>
            <w:tcW w:w="1341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否（0分）</w:t>
            </w:r>
          </w:p>
        </w:tc>
        <w:tc>
          <w:tcPr>
            <w:tcW w:w="1237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5" w:type="dxa"/>
            <w:gridSpan w:val="3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合   计</w:t>
            </w:r>
          </w:p>
        </w:tc>
        <w:tc>
          <w:tcPr>
            <w:tcW w:w="1237" w:type="dxa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4"/>
          </w:tcPr>
          <w:p>
            <w:pPr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备</w:t>
            </w:r>
            <w:r>
              <w:rPr>
                <w:rFonts w:ascii="宋体" w:hAnsi="宋体" w:eastAsia="宋体"/>
                <w:b/>
                <w:szCs w:val="21"/>
              </w:rPr>
              <w:t>注</w:t>
            </w:r>
            <w:r>
              <w:rPr>
                <w:rFonts w:hint="eastAsia" w:ascii="宋体" w:hAnsi="宋体" w:eastAsia="宋体"/>
                <w:b/>
                <w:szCs w:val="21"/>
              </w:rPr>
              <w:t>：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1、本评估表适用于有外出旅居史和省外来返雅人员。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2、得分3分及以上者为高风险人员，2分为中风险人员，等于或者小于1分为低风险人员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3、风险地区判定</w:t>
            </w:r>
            <w:r>
              <w:rPr>
                <w:rFonts w:hint="eastAsia" w:ascii="宋体" w:hAnsi="宋体" w:eastAsia="宋体"/>
                <w:szCs w:val="21"/>
              </w:rPr>
              <w:t>（根据疫情动态调整）</w:t>
            </w:r>
          </w:p>
          <w:p>
            <w:pPr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 xml:space="preserve">（1）高风险地区 </w:t>
            </w:r>
          </w:p>
          <w:p>
            <w:pPr>
              <w:ind w:firstLine="105" w:firstLineChars="50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A</w:t>
            </w:r>
            <w:r>
              <w:rPr>
                <w:rFonts w:hint="eastAsia" w:ascii="宋体" w:hAnsi="宋体" w:eastAsia="宋体"/>
                <w:szCs w:val="21"/>
              </w:rPr>
              <w:t>、境外：所有国家和地区</w:t>
            </w:r>
          </w:p>
          <w:p>
            <w:pPr>
              <w:ind w:firstLine="105" w:firstLineChars="50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B</w:t>
            </w:r>
            <w:r>
              <w:rPr>
                <w:rFonts w:hint="eastAsia" w:ascii="宋体" w:hAnsi="宋体" w:eastAsia="宋体"/>
                <w:szCs w:val="21"/>
              </w:rPr>
              <w:t>、省外：北京市</w:t>
            </w:r>
          </w:p>
          <w:p>
            <w:pPr>
              <w:ind w:firstLine="105" w:firstLineChars="50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C</w:t>
            </w:r>
            <w:r>
              <w:rPr>
                <w:rFonts w:hint="eastAsia" w:ascii="宋体" w:hAnsi="宋体" w:eastAsia="宋体"/>
                <w:szCs w:val="21"/>
              </w:rPr>
              <w:t>、省内：无</w:t>
            </w:r>
          </w:p>
          <w:p>
            <w:pPr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（2）中风险地区</w:t>
            </w:r>
          </w:p>
          <w:p>
            <w:pPr>
              <w:ind w:firstLine="105" w:firstLineChars="50"/>
              <w:rPr>
                <w:rFonts w:ascii="宋体" w:hAnsi="宋体" w:eastAsia="宋体"/>
                <w:color w:val="FF0000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省外：湖北省，吉林省吉林市舒兰市、丰满区，北京市除丰台区花乡地区以外其他地区</w:t>
            </w:r>
          </w:p>
          <w:p>
            <w:pPr>
              <w:ind w:firstLine="105" w:firstLineChars="5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省内：无</w:t>
            </w:r>
          </w:p>
          <w:p>
            <w:pPr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（3）低风险地区</w:t>
            </w:r>
          </w:p>
          <w:p>
            <w:pPr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Cs w:val="21"/>
              </w:rPr>
              <w:t>除了上述高中风险地区之外地区</w:t>
            </w:r>
          </w:p>
        </w:tc>
      </w:tr>
    </w:tbl>
    <w:p>
      <w:pPr>
        <w:spacing w:line="560" w:lineRule="exact"/>
        <w:ind w:right="435" w:rightChars="207"/>
        <w:rPr>
          <w:rFonts w:ascii="黑体" w:hAnsi="黑体" w:eastAsia="黑体"/>
          <w:b/>
          <w:bCs/>
          <w:sz w:val="32"/>
          <w:szCs w:val="32"/>
        </w:rPr>
      </w:pPr>
    </w:p>
    <w:p>
      <w:pPr>
        <w:spacing w:line="560" w:lineRule="exact"/>
        <w:ind w:right="435" w:rightChars="207" w:firstLine="649" w:firstLineChars="147"/>
        <w:jc w:val="center"/>
        <w:rPr>
          <w:rFonts w:asciiTheme="minorEastAsia" w:hAnsiTheme="minorEastAsia"/>
          <w:b/>
          <w:bCs/>
          <w:sz w:val="44"/>
          <w:szCs w:val="44"/>
        </w:rPr>
      </w:pPr>
    </w:p>
    <w:p>
      <w:pPr>
        <w:spacing w:line="560" w:lineRule="exact"/>
        <w:ind w:right="435" w:rightChars="207" w:firstLine="649" w:firstLineChars="147"/>
        <w:jc w:val="center"/>
        <w:rPr>
          <w:rFonts w:asciiTheme="minorEastAsia" w:hAnsiTheme="minorEastAsia"/>
          <w:b/>
          <w:bCs/>
          <w:sz w:val="44"/>
          <w:szCs w:val="44"/>
        </w:rPr>
      </w:pPr>
    </w:p>
    <w:p>
      <w:pPr>
        <w:spacing w:line="560" w:lineRule="exact"/>
        <w:ind w:right="435" w:rightChars="207" w:firstLine="649" w:firstLineChars="147"/>
        <w:jc w:val="center"/>
        <w:rPr>
          <w:rFonts w:asciiTheme="minorEastAsia" w:hAnsiTheme="minorEastAsia"/>
          <w:b/>
          <w:bCs/>
          <w:sz w:val="44"/>
          <w:szCs w:val="44"/>
        </w:rPr>
      </w:pPr>
    </w:p>
    <w:p>
      <w:pPr>
        <w:spacing w:line="560" w:lineRule="exact"/>
        <w:ind w:right="435" w:rightChars="207" w:firstLine="472" w:firstLineChars="147"/>
        <w:jc w:val="center"/>
        <w:rPr>
          <w:rFonts w:asciiTheme="minorEastAsia" w:hAnsiTheme="minorEastAsia"/>
          <w:b/>
          <w:bCs/>
          <w:sz w:val="32"/>
          <w:szCs w:val="32"/>
        </w:rPr>
      </w:pPr>
      <w:r>
        <w:rPr>
          <w:rFonts w:hint="eastAsia" w:asciiTheme="minorEastAsia" w:hAnsiTheme="minorEastAsia"/>
          <w:b/>
          <w:bCs/>
          <w:sz w:val="32"/>
          <w:szCs w:val="32"/>
        </w:rPr>
        <w:t>雅安市高、中风险地区判定标准的建议</w:t>
      </w:r>
    </w:p>
    <w:p>
      <w:pPr>
        <w:spacing w:line="560" w:lineRule="exact"/>
        <w:ind w:right="435" w:rightChars="207" w:firstLine="472" w:firstLineChars="147"/>
        <w:jc w:val="center"/>
        <w:rPr>
          <w:rFonts w:asciiTheme="minorEastAsia" w:hAnsiTheme="minorEastAsia"/>
          <w:b/>
          <w:bCs/>
          <w:sz w:val="32"/>
          <w:szCs w:val="32"/>
        </w:rPr>
      </w:pPr>
    </w:p>
    <w:p>
      <w:pPr>
        <w:pStyle w:val="4"/>
        <w:widowControl/>
        <w:spacing w:line="560" w:lineRule="exact"/>
        <w:ind w:right="435" w:rightChars="207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建议根据以下标准进行高中低风险地区判定。</w:t>
      </w:r>
    </w:p>
    <w:p>
      <w:pPr>
        <w:pStyle w:val="4"/>
        <w:widowControl/>
        <w:spacing w:line="560" w:lineRule="exact"/>
        <w:ind w:right="435" w:rightChars="207"/>
        <w:rPr>
          <w:rFonts w:ascii="仿宋" w:hAnsi="仿宋" w:eastAsia="仿宋" w:cs="仿宋_GB2312"/>
          <w:b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>（一）高风险地区：满足以下任意一条。</w:t>
      </w:r>
    </w:p>
    <w:p>
      <w:pPr>
        <w:pStyle w:val="4"/>
        <w:widowControl/>
        <w:spacing w:line="560" w:lineRule="exact"/>
        <w:ind w:left="1071" w:leftChars="510" w:right="435" w:rightChars="207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1</w:t>
      </w:r>
      <w:r>
        <w:rPr>
          <w:rFonts w:ascii="仿宋" w:hAnsi="仿宋" w:eastAsia="仿宋" w:cs="仿宋_GB2312"/>
          <w:sz w:val="32"/>
          <w:szCs w:val="32"/>
        </w:rPr>
        <w:t>.</w:t>
      </w:r>
      <w:r>
        <w:rPr>
          <w:rFonts w:hint="eastAsia" w:ascii="仿宋" w:hAnsi="仿宋" w:eastAsia="仿宋" w:cs="仿宋_GB2312"/>
          <w:sz w:val="32"/>
          <w:szCs w:val="32"/>
        </w:rPr>
        <w:t>所有境外国家。</w:t>
      </w:r>
    </w:p>
    <w:p>
      <w:pPr>
        <w:pStyle w:val="4"/>
        <w:widowControl/>
        <w:spacing w:line="560" w:lineRule="exact"/>
        <w:ind w:left="1071" w:leftChars="510" w:right="435" w:rightChars="207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2</w:t>
      </w:r>
      <w:r>
        <w:rPr>
          <w:rFonts w:ascii="仿宋" w:hAnsi="仿宋" w:eastAsia="仿宋" w:cs="仿宋_GB2312"/>
          <w:sz w:val="32"/>
          <w:szCs w:val="32"/>
        </w:rPr>
        <w:t>.</w:t>
      </w:r>
      <w:r>
        <w:rPr>
          <w:rFonts w:hint="eastAsia" w:ascii="仿宋" w:hAnsi="仿宋" w:eastAsia="仿宋" w:cs="仿宋_GB2312"/>
          <w:sz w:val="32"/>
          <w:szCs w:val="32"/>
        </w:rPr>
        <w:t>仍有社区传播或局部暴发病例的省份/地区。</w:t>
      </w:r>
    </w:p>
    <w:p>
      <w:pPr>
        <w:pStyle w:val="4"/>
        <w:widowControl/>
        <w:spacing w:line="560" w:lineRule="exact"/>
        <w:ind w:left="1071" w:leftChars="510" w:right="435" w:rightChars="207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3</w:t>
      </w:r>
      <w:r>
        <w:rPr>
          <w:rFonts w:ascii="仿宋" w:hAnsi="仿宋" w:eastAsia="仿宋" w:cs="仿宋_GB2312"/>
          <w:sz w:val="32"/>
          <w:szCs w:val="32"/>
        </w:rPr>
        <w:t>.</w:t>
      </w:r>
      <w:r>
        <w:rPr>
          <w:rFonts w:hint="eastAsia" w:ascii="仿宋" w:hAnsi="仿宋" w:eastAsia="仿宋" w:cs="仿宋_GB2312"/>
          <w:sz w:val="32"/>
          <w:szCs w:val="32"/>
        </w:rPr>
        <w:t>国家或当地风险划分仍划为高风险省份/地区。</w:t>
      </w:r>
    </w:p>
    <w:p>
      <w:pPr>
        <w:pStyle w:val="4"/>
        <w:widowControl/>
        <w:spacing w:line="560" w:lineRule="exact"/>
        <w:ind w:right="435" w:rightChars="207"/>
        <w:rPr>
          <w:rFonts w:ascii="仿宋" w:hAnsi="仿宋" w:eastAsia="仿宋" w:cs="仿宋_GB2312"/>
          <w:b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>（二）中风险地区：满足以下任意一条。</w:t>
      </w:r>
    </w:p>
    <w:p>
      <w:pPr>
        <w:pStyle w:val="4"/>
        <w:widowControl/>
        <w:spacing w:line="560" w:lineRule="exact"/>
        <w:ind w:right="435" w:rightChars="207"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1</w:t>
      </w:r>
      <w:r>
        <w:rPr>
          <w:rFonts w:ascii="仿宋" w:hAnsi="仿宋" w:eastAsia="仿宋" w:cs="仿宋_GB2312"/>
          <w:sz w:val="32"/>
          <w:szCs w:val="32"/>
        </w:rPr>
        <w:t>.</w:t>
      </w:r>
      <w:r>
        <w:rPr>
          <w:rFonts w:hint="eastAsia" w:ascii="仿宋" w:hAnsi="仿宋" w:eastAsia="仿宋" w:cs="仿宋_GB2312"/>
          <w:sz w:val="32"/>
          <w:szCs w:val="32"/>
        </w:rPr>
        <w:t>国家或当地风险划分为中风险省份/地区；</w:t>
      </w:r>
    </w:p>
    <w:p>
      <w:pPr>
        <w:pStyle w:val="4"/>
        <w:widowControl/>
        <w:spacing w:line="560" w:lineRule="exact"/>
        <w:ind w:right="435" w:rightChars="207"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2</w:t>
      </w:r>
      <w:r>
        <w:rPr>
          <w:rFonts w:ascii="仿宋" w:hAnsi="仿宋" w:eastAsia="仿宋" w:cs="仿宋_GB2312"/>
          <w:sz w:val="32"/>
          <w:szCs w:val="32"/>
        </w:rPr>
        <w:t>.</w:t>
      </w:r>
      <w:r>
        <w:rPr>
          <w:rFonts w:hint="eastAsia" w:ascii="仿宋" w:hAnsi="仿宋" w:eastAsia="仿宋" w:cs="仿宋_GB2312"/>
          <w:sz w:val="32"/>
          <w:szCs w:val="32"/>
        </w:rPr>
        <w:t>近14天内有本地传播散发病例或输入病例累计达30例以上的省份/地区。</w:t>
      </w:r>
    </w:p>
    <w:p>
      <w:pPr>
        <w:pStyle w:val="4"/>
        <w:widowControl/>
        <w:spacing w:line="576" w:lineRule="exact"/>
        <w:ind w:right="435" w:rightChars="207"/>
        <w:rPr>
          <w:rFonts w:ascii="仿宋" w:hAnsi="仿宋" w:eastAsia="仿宋" w:cs="仿宋_GB2312"/>
          <w:b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>（三）低风险：除上述高/中风险以外的地区。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521351"/>
    <w:multiLevelType w:val="singleLevel"/>
    <w:tmpl w:val="6452135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D0D64"/>
    <w:rsid w:val="003C65BF"/>
    <w:rsid w:val="005510B8"/>
    <w:rsid w:val="00743103"/>
    <w:rsid w:val="00840649"/>
    <w:rsid w:val="00AD0D64"/>
    <w:rsid w:val="00B3058F"/>
    <w:rsid w:val="00D735CE"/>
    <w:rsid w:val="213B1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2"/>
    <w:basedOn w:val="1"/>
    <w:next w:val="1"/>
    <w:qFormat/>
    <w:uiPriority w:val="0"/>
    <w:rPr>
      <w:rFonts w:ascii="Calibri" w:hAnsi="Calibri" w:eastAsia="宋体" w:cs="Calibri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154</Words>
  <Characters>882</Characters>
  <Lines>7</Lines>
  <Paragraphs>2</Paragraphs>
  <TotalTime>40</TotalTime>
  <ScaleCrop>false</ScaleCrop>
  <LinksUpToDate>false</LinksUpToDate>
  <CharactersWithSpaces>1034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2020-05-13T07:32:00Z</dcterms:created>
  <dc:creator>周启富</dc:creator>
  <cp:lastModifiedBy>冯媛媛</cp:lastModifiedBy>
  <dcterms:modified xsi:type="dcterms:W3CDTF">2021-03-08T09:46:37Z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